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04F3A" w14:textId="77777777" w:rsidR="00B23EDB" w:rsidRDefault="00B23EDB" w:rsidP="00E2453E">
      <w:pPr>
        <w:jc w:val="center"/>
      </w:pPr>
    </w:p>
    <w:p w14:paraId="0EAC1500" w14:textId="77777777" w:rsidR="00B23EDB" w:rsidRDefault="00433A64" w:rsidP="00E2453E">
      <w:pPr>
        <w:jc w:val="center"/>
      </w:pPr>
      <w:r>
        <w:rPr>
          <w:noProof/>
        </w:rPr>
        <w:drawing>
          <wp:inline distT="0" distB="0" distL="0" distR="0" wp14:anchorId="451FFF16" wp14:editId="7789D32B">
            <wp:extent cx="680720" cy="943610"/>
            <wp:effectExtent l="0" t="0" r="5080" b="0"/>
            <wp:docPr id="1" name="Grafik 1" descr="http://urz.unibas.ch/files/documents/unilogoschwa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urz.unibas.ch/files/documents/unilogoschwarz.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943610"/>
                    </a:xfrm>
                    <a:prstGeom prst="rect">
                      <a:avLst/>
                    </a:prstGeom>
                    <a:noFill/>
                    <a:ln>
                      <a:noFill/>
                    </a:ln>
                  </pic:spPr>
                </pic:pic>
              </a:graphicData>
            </a:graphic>
          </wp:inline>
        </w:drawing>
      </w:r>
      <w:r>
        <w:rPr>
          <w:noProof/>
        </w:rPr>
        <w:drawing>
          <wp:inline distT="0" distB="0" distL="0" distR="0" wp14:anchorId="7D771333" wp14:editId="5C289206">
            <wp:extent cx="1021715" cy="1021715"/>
            <wp:effectExtent l="0" t="0" r="0" b="0"/>
            <wp:docPr id="2" name="Grafik 7" descr="http://www.bloc-identitaire.com/files/image/actualite/Science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http://www.bloc-identitaire.com/files/image/actualite/SciencesP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Pr>
          <w:noProof/>
        </w:rPr>
        <w:drawing>
          <wp:inline distT="0" distB="0" distL="0" distR="0" wp14:anchorId="1B76CBD2" wp14:editId="3775F063">
            <wp:extent cx="992505" cy="914400"/>
            <wp:effectExtent l="0" t="0" r="0" b="0"/>
            <wp:docPr id="3" name="Grafik 6" descr="http://www.thp.uni-koeln.de/%7Eporto/pictures/UniKoelnLogoInver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www.thp.uni-koeln.de/%7Eporto/pictures/UniKoelnLogoInvertBlu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14400"/>
                    </a:xfrm>
                    <a:prstGeom prst="rect">
                      <a:avLst/>
                    </a:prstGeom>
                    <a:noFill/>
                    <a:ln>
                      <a:noFill/>
                    </a:ln>
                  </pic:spPr>
                </pic:pic>
              </a:graphicData>
            </a:graphic>
          </wp:inline>
        </w:drawing>
      </w:r>
      <w:r>
        <w:rPr>
          <w:noProof/>
        </w:rPr>
        <w:drawing>
          <wp:inline distT="0" distB="0" distL="0" distR="0" wp14:anchorId="4293C92D" wp14:editId="3A999A91">
            <wp:extent cx="934085" cy="914400"/>
            <wp:effectExtent l="0" t="0" r="5715" b="0"/>
            <wp:docPr id="4" name="Grafik 5" descr="http://www.univie.ac.at/mathematik_didaktik/uniwi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www.univie.ac.at/mathematik_didaktik/uniwien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085" cy="914400"/>
                    </a:xfrm>
                    <a:prstGeom prst="rect">
                      <a:avLst/>
                    </a:prstGeom>
                    <a:noFill/>
                    <a:ln>
                      <a:noFill/>
                    </a:ln>
                  </pic:spPr>
                </pic:pic>
              </a:graphicData>
            </a:graphic>
          </wp:inline>
        </w:drawing>
      </w:r>
      <w:r>
        <w:rPr>
          <w:noProof/>
        </w:rPr>
        <w:drawing>
          <wp:inline distT="0" distB="0" distL="0" distR="0" wp14:anchorId="31CB70A3" wp14:editId="64ACED63">
            <wp:extent cx="768350" cy="1002030"/>
            <wp:effectExtent l="0" t="0" r="0" b="0"/>
            <wp:docPr id="5" name="Grafik 2" descr="http://www.photonics4life.eu/var/plain_site/storage/images/p4l2/about-photonics4life/members-partners/university-of-st-andrews/12197-1-eng-GB/University-of-St-Andr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photonics4life.eu/var/plain_site/storage/images/p4l2/about-photonics4life/members-partners/university-of-st-andrews/12197-1-eng-GB/University-of-St-Andrew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1002030"/>
                    </a:xfrm>
                    <a:prstGeom prst="rect">
                      <a:avLst/>
                    </a:prstGeom>
                    <a:noFill/>
                    <a:ln>
                      <a:noFill/>
                    </a:ln>
                  </pic:spPr>
                </pic:pic>
              </a:graphicData>
            </a:graphic>
          </wp:inline>
        </w:drawing>
      </w:r>
      <w:r>
        <w:rPr>
          <w:noProof/>
        </w:rPr>
        <w:drawing>
          <wp:inline distT="0" distB="0" distL="0" distR="0" wp14:anchorId="591BD671" wp14:editId="1BFE80F9">
            <wp:extent cx="914400" cy="972820"/>
            <wp:effectExtent l="0" t="0" r="0" b="0"/>
            <wp:docPr id="6" name="Grafik 4" descr="File:Carolinum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File:Carolinum Logo.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72820"/>
                    </a:xfrm>
                    <a:prstGeom prst="rect">
                      <a:avLst/>
                    </a:prstGeom>
                    <a:noFill/>
                    <a:ln>
                      <a:noFill/>
                    </a:ln>
                  </pic:spPr>
                </pic:pic>
              </a:graphicData>
            </a:graphic>
          </wp:inline>
        </w:drawing>
      </w:r>
    </w:p>
    <w:p w14:paraId="7AAE6BED" w14:textId="77777777" w:rsidR="00B23EDB" w:rsidRDefault="00B23EDB" w:rsidP="00E2453E">
      <w:pPr>
        <w:jc w:val="center"/>
      </w:pPr>
    </w:p>
    <w:p w14:paraId="1F1AED2A" w14:textId="77777777" w:rsidR="00856F72" w:rsidRDefault="00856F72" w:rsidP="00E2453E">
      <w:pPr>
        <w:jc w:val="center"/>
      </w:pPr>
    </w:p>
    <w:p w14:paraId="106F5584" w14:textId="77777777" w:rsidR="00B23EDB" w:rsidRDefault="00B23EDB" w:rsidP="00E2453E">
      <w:pPr>
        <w:rPr>
          <w:b/>
          <w:lang w:val="en-GB"/>
        </w:rPr>
      </w:pPr>
    </w:p>
    <w:p w14:paraId="2C2AF7F4" w14:textId="77777777" w:rsidR="00E71A04" w:rsidRPr="00856F72" w:rsidRDefault="00E71A04" w:rsidP="00E71A04">
      <w:pPr>
        <w:spacing w:line="360" w:lineRule="auto"/>
        <w:jc w:val="center"/>
        <w:rPr>
          <w:rFonts w:asciiTheme="minorHAnsi" w:hAnsiTheme="minorHAnsi"/>
          <w:b/>
          <w:sz w:val="28"/>
          <w:szCs w:val="28"/>
        </w:rPr>
      </w:pPr>
      <w:r w:rsidRPr="00856F72">
        <w:rPr>
          <w:rFonts w:asciiTheme="minorHAnsi" w:hAnsiTheme="minorHAnsi"/>
          <w:b/>
          <w:sz w:val="28"/>
          <w:szCs w:val="28"/>
        </w:rPr>
        <w:t>Call for Applications</w:t>
      </w:r>
    </w:p>
    <w:p w14:paraId="07770F61" w14:textId="77777777" w:rsidR="00E71A04" w:rsidRPr="00856F72" w:rsidRDefault="00E71A04" w:rsidP="00E71A04">
      <w:pPr>
        <w:spacing w:line="360" w:lineRule="auto"/>
        <w:jc w:val="center"/>
        <w:rPr>
          <w:rFonts w:asciiTheme="minorHAnsi" w:hAnsiTheme="minorHAnsi"/>
          <w:sz w:val="28"/>
          <w:szCs w:val="28"/>
        </w:rPr>
      </w:pPr>
    </w:p>
    <w:p w14:paraId="7D95B781" w14:textId="77777777" w:rsidR="00E71A04" w:rsidRPr="00856F72" w:rsidRDefault="00E71A04" w:rsidP="00E71A04">
      <w:pPr>
        <w:jc w:val="center"/>
        <w:rPr>
          <w:rFonts w:asciiTheme="minorHAnsi" w:hAnsiTheme="minorHAnsi"/>
          <w:b/>
          <w:sz w:val="28"/>
          <w:szCs w:val="28"/>
        </w:rPr>
      </w:pPr>
      <w:bookmarkStart w:id="0" w:name="OLE_LINK1"/>
      <w:bookmarkStart w:id="1" w:name="OLE_LINK2"/>
      <w:r w:rsidRPr="00856F72">
        <w:rPr>
          <w:rFonts w:asciiTheme="minorHAnsi" w:hAnsiTheme="minorHAnsi"/>
          <w:b/>
          <w:sz w:val="28"/>
          <w:szCs w:val="28"/>
        </w:rPr>
        <w:t>Interconnected – Actors, Objects and Ideas on the Move</w:t>
      </w:r>
    </w:p>
    <w:bookmarkEnd w:id="0"/>
    <w:bookmarkEnd w:id="1"/>
    <w:p w14:paraId="73ADC3B3" w14:textId="77777777" w:rsidR="00E71A04" w:rsidRPr="00856F72" w:rsidRDefault="00E71A04" w:rsidP="00E71A04">
      <w:pPr>
        <w:spacing w:line="360" w:lineRule="auto"/>
        <w:jc w:val="center"/>
        <w:rPr>
          <w:rFonts w:asciiTheme="minorHAnsi" w:hAnsiTheme="minorHAnsi"/>
          <w:sz w:val="22"/>
          <w:szCs w:val="22"/>
        </w:rPr>
      </w:pPr>
    </w:p>
    <w:p w14:paraId="6C39A355" w14:textId="77777777" w:rsidR="00E71A04" w:rsidRPr="00856F72" w:rsidRDefault="00E71A04" w:rsidP="00E71A04">
      <w:pPr>
        <w:spacing w:line="360" w:lineRule="auto"/>
        <w:jc w:val="center"/>
        <w:rPr>
          <w:rFonts w:asciiTheme="minorHAnsi" w:hAnsiTheme="minorHAnsi"/>
          <w:sz w:val="22"/>
          <w:szCs w:val="22"/>
        </w:rPr>
      </w:pPr>
      <w:r w:rsidRPr="00856F72">
        <w:rPr>
          <w:rFonts w:asciiTheme="minorHAnsi" w:hAnsiTheme="minorHAnsi"/>
          <w:sz w:val="22"/>
          <w:szCs w:val="22"/>
        </w:rPr>
        <w:t>3</w:t>
      </w:r>
      <w:r w:rsidRPr="00856F72">
        <w:rPr>
          <w:rFonts w:asciiTheme="minorHAnsi" w:hAnsiTheme="minorHAnsi"/>
          <w:sz w:val="22"/>
          <w:szCs w:val="22"/>
          <w:vertAlign w:val="superscript"/>
        </w:rPr>
        <w:t>rd</w:t>
      </w:r>
      <w:r w:rsidRPr="00856F72">
        <w:rPr>
          <w:rFonts w:asciiTheme="minorHAnsi" w:hAnsiTheme="minorHAnsi"/>
          <w:sz w:val="22"/>
          <w:szCs w:val="22"/>
        </w:rPr>
        <w:t xml:space="preserve"> GRAINES Summer School, St Andrews, 7-10 June 2015</w:t>
      </w:r>
    </w:p>
    <w:p w14:paraId="7A3BF713" w14:textId="77777777" w:rsidR="00E71A04" w:rsidRPr="00856F72" w:rsidRDefault="00E71A04" w:rsidP="00E71A04">
      <w:pPr>
        <w:spacing w:line="360" w:lineRule="auto"/>
        <w:rPr>
          <w:rFonts w:asciiTheme="minorHAnsi" w:hAnsiTheme="minorHAnsi"/>
          <w:sz w:val="22"/>
          <w:szCs w:val="22"/>
        </w:rPr>
      </w:pPr>
    </w:p>
    <w:p w14:paraId="69829633" w14:textId="77777777" w:rsidR="00E71A04" w:rsidRPr="00856F72" w:rsidRDefault="00E71A04" w:rsidP="00631397">
      <w:pPr>
        <w:spacing w:line="360" w:lineRule="auto"/>
        <w:jc w:val="center"/>
        <w:rPr>
          <w:rFonts w:asciiTheme="minorHAnsi" w:hAnsiTheme="minorHAnsi"/>
          <w:sz w:val="22"/>
          <w:szCs w:val="22"/>
        </w:rPr>
      </w:pPr>
      <w:r w:rsidRPr="00856F72">
        <w:rPr>
          <w:rFonts w:asciiTheme="minorHAnsi" w:hAnsiTheme="minorHAnsi"/>
          <w:sz w:val="22"/>
          <w:szCs w:val="22"/>
        </w:rPr>
        <w:t xml:space="preserve">GRAINES network and the Institute </w:t>
      </w:r>
      <w:r w:rsidRPr="00856F72">
        <w:rPr>
          <w:rFonts w:asciiTheme="minorHAnsi" w:hAnsiTheme="minorHAnsi"/>
          <w:i/>
          <w:sz w:val="22"/>
          <w:szCs w:val="22"/>
        </w:rPr>
        <w:t>for Transnational &amp; Spatial History, St Andrews</w:t>
      </w:r>
    </w:p>
    <w:p w14:paraId="51C91DEF" w14:textId="77777777" w:rsidR="00E71A04" w:rsidRPr="00856F72" w:rsidRDefault="00E71A04" w:rsidP="00631397">
      <w:pPr>
        <w:spacing w:line="360" w:lineRule="auto"/>
        <w:jc w:val="center"/>
        <w:rPr>
          <w:rFonts w:asciiTheme="minorHAnsi" w:hAnsiTheme="minorHAnsi"/>
          <w:sz w:val="22"/>
          <w:szCs w:val="22"/>
        </w:rPr>
      </w:pPr>
      <w:proofErr w:type="gramStart"/>
      <w:r w:rsidRPr="00856F72">
        <w:rPr>
          <w:rFonts w:asciiTheme="minorHAnsi" w:hAnsiTheme="minorHAnsi"/>
          <w:sz w:val="22"/>
          <w:szCs w:val="22"/>
        </w:rPr>
        <w:t>in</w:t>
      </w:r>
      <w:proofErr w:type="gramEnd"/>
      <w:r w:rsidRPr="00856F72">
        <w:rPr>
          <w:rFonts w:asciiTheme="minorHAnsi" w:hAnsiTheme="minorHAnsi"/>
          <w:sz w:val="22"/>
          <w:szCs w:val="22"/>
        </w:rPr>
        <w:t xml:space="preserve"> collaboration with </w:t>
      </w:r>
      <w:r w:rsidRPr="00856F72">
        <w:rPr>
          <w:rFonts w:asciiTheme="minorHAnsi" w:hAnsiTheme="minorHAnsi"/>
          <w:i/>
          <w:sz w:val="22"/>
          <w:szCs w:val="22"/>
        </w:rPr>
        <w:t>the Institute for Intellectual History</w:t>
      </w:r>
      <w:r w:rsidRPr="00856F72">
        <w:rPr>
          <w:rFonts w:asciiTheme="minorHAnsi" w:hAnsiTheme="minorHAnsi"/>
          <w:sz w:val="22"/>
          <w:szCs w:val="22"/>
        </w:rPr>
        <w:t>, St Andrews &amp; Global Cities (AHRC Project)</w:t>
      </w:r>
    </w:p>
    <w:p w14:paraId="2B8E39E2" w14:textId="77777777" w:rsidR="00E71A04" w:rsidRPr="00856F72" w:rsidRDefault="00E71A04" w:rsidP="00E71A04">
      <w:pPr>
        <w:spacing w:line="360" w:lineRule="auto"/>
        <w:rPr>
          <w:rFonts w:asciiTheme="minorHAnsi" w:hAnsiTheme="minorHAnsi"/>
          <w:sz w:val="22"/>
          <w:szCs w:val="22"/>
        </w:rPr>
      </w:pPr>
    </w:p>
    <w:p w14:paraId="0A4F67B3" w14:textId="2A4B0040" w:rsidR="00E71A04" w:rsidRPr="00856F72" w:rsidRDefault="00E71A04" w:rsidP="00E71A04">
      <w:pPr>
        <w:spacing w:line="360" w:lineRule="auto"/>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Over the past years, networks, along with Actor-Network-Theory, have attracted scholars’ attention. While networks are not new as a topic, they have gained attention in particular in the field of global and transnational history. As part of </w:t>
      </w:r>
      <w:r w:rsidR="00856F72" w:rsidRPr="00856F72">
        <w:rPr>
          <w:rFonts w:asciiTheme="minorHAnsi" w:hAnsiTheme="minorHAnsi" w:cs="Helvetica Neue"/>
          <w:color w:val="262626"/>
          <w:sz w:val="22"/>
          <w:szCs w:val="22"/>
        </w:rPr>
        <w:t xml:space="preserve">global and </w:t>
      </w:r>
      <w:r w:rsidRPr="00856F72">
        <w:rPr>
          <w:rFonts w:asciiTheme="minorHAnsi" w:hAnsiTheme="minorHAnsi" w:cs="Helvetica Neue"/>
          <w:color w:val="262626"/>
          <w:sz w:val="22"/>
          <w:szCs w:val="22"/>
        </w:rPr>
        <w:t xml:space="preserve">transnational research </w:t>
      </w:r>
      <w:r w:rsidR="00856F72" w:rsidRPr="00856F72">
        <w:rPr>
          <w:rFonts w:asciiTheme="minorHAnsi" w:hAnsiTheme="minorHAnsi" w:cs="Helvetica Neue"/>
          <w:color w:val="262626"/>
          <w:sz w:val="22"/>
          <w:szCs w:val="22"/>
        </w:rPr>
        <w:t>perspectives</w:t>
      </w:r>
      <w:r w:rsidRPr="00856F72">
        <w:rPr>
          <w:rFonts w:asciiTheme="minorHAnsi" w:hAnsiTheme="minorHAnsi" w:cs="Helvetica Neue"/>
          <w:color w:val="262626"/>
          <w:sz w:val="22"/>
          <w:szCs w:val="22"/>
        </w:rPr>
        <w:t xml:space="preserve">, </w:t>
      </w:r>
      <w:r w:rsidR="00631397">
        <w:rPr>
          <w:rFonts w:asciiTheme="minorHAnsi" w:hAnsiTheme="minorHAnsi" w:cs="Helvetica Neue"/>
          <w:color w:val="262626"/>
          <w:sz w:val="22"/>
          <w:szCs w:val="22"/>
        </w:rPr>
        <w:t xml:space="preserve">as well as in </w:t>
      </w:r>
      <w:r w:rsidR="00631397" w:rsidRPr="00856F72">
        <w:rPr>
          <w:rFonts w:asciiTheme="minorHAnsi" w:hAnsiTheme="minorHAnsi" w:cs="Helvetica Neue"/>
          <w:color w:val="262626"/>
          <w:sz w:val="22"/>
          <w:szCs w:val="22"/>
        </w:rPr>
        <w:t xml:space="preserve">urban or intellectual history, </w:t>
      </w:r>
      <w:r w:rsidR="00631397">
        <w:rPr>
          <w:rFonts w:asciiTheme="minorHAnsi" w:hAnsiTheme="minorHAnsi" w:cs="Helvetica Neue"/>
          <w:color w:val="262626"/>
          <w:sz w:val="22"/>
          <w:szCs w:val="22"/>
        </w:rPr>
        <w:t xml:space="preserve">in </w:t>
      </w:r>
      <w:r w:rsidR="00631397" w:rsidRPr="00856F72">
        <w:rPr>
          <w:rFonts w:asciiTheme="minorHAnsi" w:hAnsiTheme="minorHAnsi" w:cs="Helvetica Neue"/>
          <w:color w:val="262626"/>
          <w:sz w:val="22"/>
          <w:szCs w:val="22"/>
        </w:rPr>
        <w:t xml:space="preserve">the history of science or </w:t>
      </w:r>
      <w:r w:rsidR="00631397">
        <w:rPr>
          <w:rFonts w:asciiTheme="minorHAnsi" w:hAnsiTheme="minorHAnsi" w:cs="Helvetica Neue"/>
          <w:color w:val="262626"/>
          <w:sz w:val="22"/>
          <w:szCs w:val="22"/>
        </w:rPr>
        <w:t xml:space="preserve">in </w:t>
      </w:r>
      <w:r w:rsidR="00631397" w:rsidRPr="00856F72">
        <w:rPr>
          <w:rFonts w:asciiTheme="minorHAnsi" w:hAnsiTheme="minorHAnsi" w:cs="Helvetica Neue"/>
          <w:color w:val="262626"/>
          <w:sz w:val="22"/>
          <w:szCs w:val="22"/>
        </w:rPr>
        <w:t>economic history</w:t>
      </w:r>
      <w:r w:rsidR="00631397">
        <w:rPr>
          <w:rFonts w:asciiTheme="minorHAnsi" w:hAnsiTheme="minorHAnsi" w:cs="Helvetica Neue"/>
          <w:color w:val="262626"/>
          <w:sz w:val="22"/>
          <w:szCs w:val="22"/>
        </w:rPr>
        <w:t xml:space="preserve"> </w:t>
      </w:r>
      <w:r w:rsidRPr="00856F72">
        <w:rPr>
          <w:rFonts w:asciiTheme="minorHAnsi" w:hAnsiTheme="minorHAnsi" w:cs="Helvetica Neue"/>
          <w:color w:val="262626"/>
          <w:sz w:val="22"/>
          <w:szCs w:val="22"/>
        </w:rPr>
        <w:t>netwo</w:t>
      </w:r>
      <w:r w:rsidR="00631397">
        <w:rPr>
          <w:rFonts w:asciiTheme="minorHAnsi" w:hAnsiTheme="minorHAnsi" w:cs="Helvetica Neue"/>
          <w:color w:val="262626"/>
          <w:sz w:val="22"/>
          <w:szCs w:val="22"/>
        </w:rPr>
        <w:t>rks serve multiple purposes. All these</w:t>
      </w:r>
      <w:r w:rsidRPr="00856F72">
        <w:rPr>
          <w:rFonts w:asciiTheme="minorHAnsi" w:hAnsiTheme="minorHAnsi" w:cs="Helvetica Neue"/>
          <w:color w:val="262626"/>
          <w:sz w:val="22"/>
          <w:szCs w:val="22"/>
        </w:rPr>
        <w:t xml:space="preserve"> fields share an interest in processes of exchange, </w:t>
      </w:r>
      <w:r w:rsidR="00631397">
        <w:rPr>
          <w:rFonts w:asciiTheme="minorHAnsi" w:hAnsiTheme="minorHAnsi" w:cs="Helvetica Neue"/>
          <w:color w:val="262626"/>
          <w:sz w:val="22"/>
          <w:szCs w:val="22"/>
        </w:rPr>
        <w:t xml:space="preserve">in </w:t>
      </w:r>
      <w:r w:rsidRPr="00856F72">
        <w:rPr>
          <w:rFonts w:asciiTheme="minorHAnsi" w:hAnsiTheme="minorHAnsi" w:cs="Helvetica Neue"/>
          <w:color w:val="262626"/>
          <w:sz w:val="22"/>
          <w:szCs w:val="22"/>
        </w:rPr>
        <w:t xml:space="preserve">connections and flows of people, goods and ideas that can be tracked and </w:t>
      </w:r>
      <w:proofErr w:type="spellStart"/>
      <w:r w:rsidRPr="00856F72">
        <w:rPr>
          <w:rFonts w:asciiTheme="minorHAnsi" w:hAnsiTheme="minorHAnsi" w:cs="Helvetica Neue"/>
          <w:color w:val="262626"/>
          <w:sz w:val="22"/>
          <w:szCs w:val="22"/>
        </w:rPr>
        <w:t>analysed</w:t>
      </w:r>
      <w:proofErr w:type="spellEnd"/>
      <w:r w:rsidRPr="00856F72">
        <w:rPr>
          <w:rFonts w:asciiTheme="minorHAnsi" w:hAnsiTheme="minorHAnsi" w:cs="Helvetica Neue"/>
          <w:color w:val="262626"/>
          <w:sz w:val="22"/>
          <w:szCs w:val="22"/>
        </w:rPr>
        <w:t xml:space="preserve"> through networks.</w:t>
      </w:r>
    </w:p>
    <w:p w14:paraId="2349F447" w14:textId="77777777" w:rsidR="00E71A04" w:rsidRPr="00856F72" w:rsidRDefault="00E71A04" w:rsidP="00E71A04">
      <w:pPr>
        <w:spacing w:line="360" w:lineRule="auto"/>
        <w:rPr>
          <w:rFonts w:asciiTheme="minorHAnsi" w:hAnsiTheme="minorHAnsi" w:cs="Helvetica Neue"/>
          <w:color w:val="262626"/>
          <w:sz w:val="22"/>
          <w:szCs w:val="22"/>
        </w:rPr>
      </w:pPr>
      <w:r w:rsidRPr="00856F72">
        <w:rPr>
          <w:rFonts w:asciiTheme="minorHAnsi" w:hAnsiTheme="minorHAnsi" w:cs="Helvetica Neue"/>
          <w:color w:val="262626"/>
          <w:sz w:val="22"/>
          <w:szCs w:val="22"/>
        </w:rPr>
        <w:t>In these and related fields networks can be:  </w:t>
      </w:r>
    </w:p>
    <w:p w14:paraId="672D0EBF" w14:textId="77777777" w:rsidR="00E71A04" w:rsidRPr="00856F72" w:rsidRDefault="00E71A04" w:rsidP="00E71A04">
      <w:pPr>
        <w:spacing w:line="360" w:lineRule="auto"/>
        <w:ind w:left="284"/>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 </w:t>
      </w:r>
      <w:proofErr w:type="gramStart"/>
      <w:r w:rsidRPr="00856F72">
        <w:rPr>
          <w:rFonts w:asciiTheme="minorHAnsi" w:hAnsiTheme="minorHAnsi" w:cs="Helvetica Neue"/>
          <w:color w:val="262626"/>
          <w:sz w:val="22"/>
          <w:szCs w:val="22"/>
        </w:rPr>
        <w:t>objects</w:t>
      </w:r>
      <w:proofErr w:type="gramEnd"/>
      <w:r w:rsidRPr="00856F72">
        <w:rPr>
          <w:rFonts w:asciiTheme="minorHAnsi" w:hAnsiTheme="minorHAnsi" w:cs="Helvetica Neue"/>
          <w:color w:val="262626"/>
          <w:sz w:val="22"/>
          <w:szCs w:val="22"/>
        </w:rPr>
        <w:t xml:space="preserve"> of research </w:t>
      </w:r>
    </w:p>
    <w:p w14:paraId="469BB61D" w14:textId="77777777" w:rsidR="00E71A04" w:rsidRPr="00856F72" w:rsidRDefault="00E71A04" w:rsidP="00E71A04">
      <w:pPr>
        <w:spacing w:line="360" w:lineRule="auto"/>
        <w:ind w:left="284"/>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 </w:t>
      </w:r>
      <w:proofErr w:type="gramStart"/>
      <w:r w:rsidRPr="00856F72">
        <w:rPr>
          <w:rFonts w:asciiTheme="minorHAnsi" w:hAnsiTheme="minorHAnsi" w:cs="Helvetica Neue"/>
          <w:color w:val="262626"/>
          <w:sz w:val="22"/>
          <w:szCs w:val="22"/>
        </w:rPr>
        <w:t>outcome</w:t>
      </w:r>
      <w:proofErr w:type="gramEnd"/>
      <w:r w:rsidRPr="00856F72">
        <w:rPr>
          <w:rFonts w:asciiTheme="minorHAnsi" w:hAnsiTheme="minorHAnsi" w:cs="Helvetica Neue"/>
          <w:color w:val="262626"/>
          <w:sz w:val="22"/>
          <w:szCs w:val="22"/>
        </w:rPr>
        <w:t xml:space="preserve"> of research </w:t>
      </w:r>
    </w:p>
    <w:p w14:paraId="5EA6529F" w14:textId="77777777" w:rsidR="00E71A04" w:rsidRPr="00856F72" w:rsidRDefault="00E71A04" w:rsidP="00E71A04">
      <w:pPr>
        <w:spacing w:line="360" w:lineRule="auto"/>
        <w:ind w:left="284"/>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 </w:t>
      </w:r>
      <w:proofErr w:type="gramStart"/>
      <w:r w:rsidRPr="00856F72">
        <w:rPr>
          <w:rFonts w:asciiTheme="minorHAnsi" w:hAnsiTheme="minorHAnsi" w:cs="Helvetica Neue"/>
          <w:color w:val="262626"/>
          <w:sz w:val="22"/>
          <w:szCs w:val="22"/>
        </w:rPr>
        <w:t>a</w:t>
      </w:r>
      <w:proofErr w:type="gramEnd"/>
      <w:r w:rsidRPr="00856F72">
        <w:rPr>
          <w:rFonts w:asciiTheme="minorHAnsi" w:hAnsiTheme="minorHAnsi" w:cs="Helvetica Neue"/>
          <w:color w:val="262626"/>
          <w:sz w:val="22"/>
          <w:szCs w:val="22"/>
        </w:rPr>
        <w:t xml:space="preserve"> heuristic device and tool in order to generate research agendas.  </w:t>
      </w:r>
    </w:p>
    <w:p w14:paraId="2DBC80AB" w14:textId="77777777" w:rsidR="00E71A04" w:rsidRPr="00856F72" w:rsidRDefault="00E71A04" w:rsidP="00E71A04">
      <w:pPr>
        <w:spacing w:line="360" w:lineRule="auto"/>
        <w:rPr>
          <w:rFonts w:asciiTheme="minorHAnsi" w:hAnsiTheme="minorHAnsi" w:cs="Helvetica Neue"/>
          <w:color w:val="262626"/>
          <w:sz w:val="22"/>
          <w:szCs w:val="22"/>
        </w:rPr>
      </w:pPr>
    </w:p>
    <w:p w14:paraId="33A0F0F8" w14:textId="1A5572E4" w:rsidR="00E71A04" w:rsidRPr="00856F72" w:rsidRDefault="00856F72" w:rsidP="00E71A04">
      <w:pPr>
        <w:spacing w:line="360" w:lineRule="auto"/>
        <w:rPr>
          <w:rFonts w:asciiTheme="minorHAnsi" w:hAnsiTheme="minorHAnsi" w:cs="Helvetica Neue"/>
          <w:color w:val="262626"/>
          <w:sz w:val="22"/>
          <w:szCs w:val="22"/>
        </w:rPr>
      </w:pPr>
      <w:r w:rsidRPr="00856F72">
        <w:rPr>
          <w:rFonts w:asciiTheme="minorHAnsi" w:hAnsiTheme="minorHAnsi" w:cs="Helvetica Neue"/>
          <w:color w:val="262626"/>
          <w:sz w:val="22"/>
          <w:szCs w:val="22"/>
        </w:rPr>
        <w:t>Networks</w:t>
      </w:r>
      <w:r w:rsidR="00E71A04" w:rsidRPr="00856F72">
        <w:rPr>
          <w:rFonts w:asciiTheme="minorHAnsi" w:hAnsiTheme="minorHAnsi" w:cs="Helvetica Neue"/>
          <w:color w:val="262626"/>
          <w:sz w:val="22"/>
          <w:szCs w:val="22"/>
        </w:rPr>
        <w:t xml:space="preserve"> may </w:t>
      </w:r>
      <w:r w:rsidRPr="00856F72">
        <w:rPr>
          <w:rFonts w:asciiTheme="minorHAnsi" w:hAnsiTheme="minorHAnsi" w:cs="Helvetica Neue"/>
          <w:color w:val="262626"/>
          <w:sz w:val="22"/>
          <w:szCs w:val="22"/>
        </w:rPr>
        <w:t xml:space="preserve">also </w:t>
      </w:r>
      <w:r w:rsidR="00E71A04" w:rsidRPr="00856F72">
        <w:rPr>
          <w:rFonts w:asciiTheme="minorHAnsi" w:hAnsiTheme="minorHAnsi" w:cs="Helvetica Neue"/>
          <w:color w:val="262626"/>
          <w:sz w:val="22"/>
          <w:szCs w:val="22"/>
        </w:rPr>
        <w:t xml:space="preserve">serve as a way of </w:t>
      </w:r>
      <w:r w:rsidR="00E71A04" w:rsidRPr="00856F72">
        <w:rPr>
          <w:rFonts w:asciiTheme="minorHAnsi" w:hAnsiTheme="minorHAnsi" w:cs="Helvetica Neue"/>
          <w:i/>
          <w:color w:val="262626"/>
          <w:sz w:val="22"/>
          <w:szCs w:val="22"/>
        </w:rPr>
        <w:t>seeing</w:t>
      </w:r>
      <w:r w:rsidR="00E71A04" w:rsidRPr="00856F72">
        <w:rPr>
          <w:rFonts w:asciiTheme="minorHAnsi" w:hAnsiTheme="minorHAnsi" w:cs="Helvetica Neue"/>
          <w:color w:val="262626"/>
          <w:sz w:val="22"/>
          <w:szCs w:val="22"/>
        </w:rPr>
        <w:t xml:space="preserve"> spatial relations and dynamics beyond (or in addition) to more conventional geograph</w:t>
      </w:r>
      <w:r w:rsidRPr="00856F72">
        <w:rPr>
          <w:rFonts w:asciiTheme="minorHAnsi" w:hAnsiTheme="minorHAnsi" w:cs="Helvetica Neue"/>
          <w:color w:val="262626"/>
          <w:sz w:val="22"/>
          <w:szCs w:val="22"/>
        </w:rPr>
        <w:t xml:space="preserve">ical and territorial frameworks, e.g. </w:t>
      </w:r>
      <w:r w:rsidR="00E71A04" w:rsidRPr="00856F72">
        <w:rPr>
          <w:rFonts w:asciiTheme="minorHAnsi" w:hAnsiTheme="minorHAnsi" w:cs="Helvetica Neue"/>
          <w:color w:val="262626"/>
          <w:sz w:val="22"/>
          <w:szCs w:val="22"/>
        </w:rPr>
        <w:t>natio</w:t>
      </w:r>
      <w:r w:rsidRPr="00856F72">
        <w:rPr>
          <w:rFonts w:asciiTheme="minorHAnsi" w:hAnsiTheme="minorHAnsi" w:cs="Helvetica Neue"/>
          <w:color w:val="262626"/>
          <w:sz w:val="22"/>
          <w:szCs w:val="22"/>
        </w:rPr>
        <w:t>ns, empires, regions, cities</w:t>
      </w:r>
      <w:r w:rsidR="00E71A04" w:rsidRPr="00856F72">
        <w:rPr>
          <w:rFonts w:asciiTheme="minorHAnsi" w:hAnsiTheme="minorHAnsi" w:cs="Helvetica Neue"/>
          <w:color w:val="262626"/>
          <w:sz w:val="22"/>
          <w:szCs w:val="22"/>
        </w:rPr>
        <w:t xml:space="preserve">. The increasing interest in the study of networks coincides with a </w:t>
      </w:r>
      <w:r w:rsidRPr="00856F72">
        <w:rPr>
          <w:rFonts w:asciiTheme="minorHAnsi" w:hAnsiTheme="minorHAnsi" w:cs="Helvetica Neue"/>
          <w:color w:val="262626"/>
          <w:sz w:val="22"/>
          <w:szCs w:val="22"/>
        </w:rPr>
        <w:t xml:space="preserve">rapidly </w:t>
      </w:r>
      <w:r w:rsidR="00E71A04" w:rsidRPr="00856F72">
        <w:rPr>
          <w:rFonts w:asciiTheme="minorHAnsi" w:hAnsiTheme="minorHAnsi" w:cs="Helvetica Neue"/>
          <w:color w:val="262626"/>
          <w:sz w:val="22"/>
          <w:szCs w:val="22"/>
        </w:rPr>
        <w:t xml:space="preserve">changing research environment </w:t>
      </w:r>
      <w:r w:rsidRPr="00856F72">
        <w:rPr>
          <w:rFonts w:asciiTheme="minorHAnsi" w:hAnsiTheme="minorHAnsi" w:cs="Helvetica Neue"/>
          <w:color w:val="262626"/>
          <w:sz w:val="22"/>
          <w:szCs w:val="22"/>
        </w:rPr>
        <w:t>and the rise of</w:t>
      </w:r>
      <w:r w:rsidR="00E71A04" w:rsidRPr="00856F72">
        <w:rPr>
          <w:rFonts w:asciiTheme="minorHAnsi" w:hAnsiTheme="minorHAnsi" w:cs="Helvetica Neue"/>
          <w:color w:val="262626"/>
          <w:sz w:val="22"/>
          <w:szCs w:val="22"/>
        </w:rPr>
        <w:t xml:space="preserve"> Digital Humanities. A variety of software and computing tools are available to </w:t>
      </w:r>
      <w:proofErr w:type="spellStart"/>
      <w:r w:rsidR="00E71A04" w:rsidRPr="00856F72">
        <w:rPr>
          <w:rFonts w:asciiTheme="minorHAnsi" w:hAnsiTheme="minorHAnsi" w:cs="Helvetica Neue"/>
          <w:color w:val="262626"/>
          <w:sz w:val="22"/>
          <w:szCs w:val="22"/>
        </w:rPr>
        <w:t>visualise</w:t>
      </w:r>
      <w:proofErr w:type="spellEnd"/>
      <w:r w:rsidR="00E71A04" w:rsidRPr="00856F72">
        <w:rPr>
          <w:rFonts w:asciiTheme="minorHAnsi" w:hAnsiTheme="minorHAnsi" w:cs="Helvetica Neue"/>
          <w:color w:val="262626"/>
          <w:sz w:val="22"/>
          <w:szCs w:val="22"/>
        </w:rPr>
        <w:t xml:space="preserve"> data and networks. </w:t>
      </w:r>
      <w:r w:rsidRPr="00856F72">
        <w:rPr>
          <w:rFonts w:asciiTheme="minorHAnsi" w:hAnsiTheme="minorHAnsi" w:cs="Helvetica Neue"/>
          <w:color w:val="262626"/>
          <w:sz w:val="22"/>
          <w:szCs w:val="22"/>
        </w:rPr>
        <w:t xml:space="preserve">This again poses questions on how to treat data, how to narrate and how </w:t>
      </w:r>
      <w:r w:rsidR="00631397">
        <w:rPr>
          <w:rFonts w:asciiTheme="minorHAnsi" w:hAnsiTheme="minorHAnsi" w:cs="Helvetica Neue"/>
          <w:color w:val="262626"/>
          <w:sz w:val="22"/>
          <w:szCs w:val="22"/>
        </w:rPr>
        <w:t xml:space="preserve">to </w:t>
      </w:r>
      <w:r w:rsidRPr="00856F72">
        <w:rPr>
          <w:rFonts w:asciiTheme="minorHAnsi" w:hAnsiTheme="minorHAnsi" w:cs="Helvetica Neue"/>
          <w:color w:val="262626"/>
          <w:sz w:val="22"/>
          <w:szCs w:val="22"/>
        </w:rPr>
        <w:t xml:space="preserve">collaborate across and between disciplinary boundaries. </w:t>
      </w:r>
    </w:p>
    <w:p w14:paraId="4049338F" w14:textId="77777777" w:rsidR="00E71A04" w:rsidRPr="00856F72" w:rsidRDefault="00E71A04" w:rsidP="00E71A04">
      <w:pPr>
        <w:spacing w:line="360" w:lineRule="auto"/>
        <w:rPr>
          <w:rFonts w:asciiTheme="minorHAnsi" w:hAnsiTheme="minorHAnsi" w:cs="Helvetica Neue"/>
          <w:color w:val="262626"/>
          <w:sz w:val="22"/>
          <w:szCs w:val="22"/>
        </w:rPr>
      </w:pPr>
    </w:p>
    <w:p w14:paraId="534BCA24" w14:textId="4BE5AAD4" w:rsidR="00E71A04" w:rsidRPr="00856F72" w:rsidRDefault="00E71A04" w:rsidP="00E71A04">
      <w:pPr>
        <w:spacing w:line="360" w:lineRule="auto"/>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In the vein of previous GRAINES summer schools we invite applications from within and beyond the GRAINES network. While </w:t>
      </w:r>
      <w:r w:rsidR="00856F72" w:rsidRPr="00856F72">
        <w:rPr>
          <w:rFonts w:asciiTheme="minorHAnsi" w:hAnsiTheme="minorHAnsi" w:cs="Helvetica Neue"/>
          <w:color w:val="262626"/>
          <w:sz w:val="22"/>
          <w:szCs w:val="22"/>
        </w:rPr>
        <w:t>GRAINES shares</w:t>
      </w:r>
      <w:r w:rsidRPr="00856F72">
        <w:rPr>
          <w:rFonts w:asciiTheme="minorHAnsi" w:hAnsiTheme="minorHAnsi" w:cs="Helvetica Neue"/>
          <w:color w:val="262626"/>
          <w:sz w:val="22"/>
          <w:szCs w:val="22"/>
        </w:rPr>
        <w:t xml:space="preserve"> a strong historical orientation with a focus on European history from the late medieval period to the present, we welcome applications from neighboring disciplines like Art History or Literature as well as the sciences (geoscience and computer science). </w:t>
      </w:r>
    </w:p>
    <w:p w14:paraId="1D96B513" w14:textId="77777777" w:rsidR="00E71A04" w:rsidRPr="00856F72" w:rsidRDefault="00E71A04" w:rsidP="00E71A04">
      <w:pPr>
        <w:spacing w:line="360" w:lineRule="auto"/>
        <w:rPr>
          <w:rFonts w:asciiTheme="minorHAnsi" w:hAnsiTheme="minorHAnsi" w:cs="Helvetica Neue"/>
          <w:color w:val="262626"/>
          <w:sz w:val="22"/>
          <w:szCs w:val="22"/>
        </w:rPr>
      </w:pPr>
    </w:p>
    <w:p w14:paraId="39AD6641" w14:textId="24D68344" w:rsidR="00E71A04" w:rsidRPr="00856F72" w:rsidRDefault="00E71A04" w:rsidP="00E71A04">
      <w:pPr>
        <w:spacing w:line="360" w:lineRule="auto"/>
        <w:rPr>
          <w:rFonts w:asciiTheme="minorHAnsi" w:hAnsiTheme="minorHAnsi" w:cs="Helvetica Neue"/>
          <w:color w:val="262626"/>
          <w:sz w:val="22"/>
          <w:szCs w:val="22"/>
        </w:rPr>
      </w:pPr>
      <w:r w:rsidRPr="00856F72">
        <w:rPr>
          <w:rFonts w:asciiTheme="minorHAnsi" w:hAnsiTheme="minorHAnsi" w:cs="Helvetica Neue"/>
          <w:color w:val="262626"/>
          <w:sz w:val="22"/>
          <w:szCs w:val="22"/>
        </w:rPr>
        <w:t xml:space="preserve"> The purpose of the summer school is to bring together scholars and postgraduate students working on or with the concept of networks in projects related to transnational, global, urban and intellectual history. The summer school will </w:t>
      </w:r>
      <w:r w:rsidR="00856F72" w:rsidRPr="00856F72">
        <w:rPr>
          <w:rFonts w:asciiTheme="minorHAnsi" w:hAnsiTheme="minorHAnsi" w:cs="Helvetica Neue"/>
          <w:color w:val="262626"/>
          <w:sz w:val="22"/>
          <w:szCs w:val="22"/>
        </w:rPr>
        <w:t>seeks to be a forum for sharing and collaborating, for knowledge production rather than consumption. In conjunction with more traditional elements such as reading groups, paper presentations, we adopt different e</w:t>
      </w:r>
      <w:r w:rsidRPr="00856F72">
        <w:rPr>
          <w:rFonts w:asciiTheme="minorHAnsi" w:hAnsiTheme="minorHAnsi" w:cs="Helvetica Neue"/>
          <w:color w:val="262626"/>
          <w:sz w:val="22"/>
          <w:szCs w:val="22"/>
        </w:rPr>
        <w:t>lements</w:t>
      </w:r>
      <w:r w:rsidR="00856F72" w:rsidRPr="00856F72">
        <w:rPr>
          <w:rFonts w:asciiTheme="minorHAnsi" w:hAnsiTheme="minorHAnsi" w:cs="Helvetica Neue"/>
          <w:color w:val="262626"/>
          <w:sz w:val="22"/>
          <w:szCs w:val="22"/>
        </w:rPr>
        <w:t xml:space="preserve"> of collaboration </w:t>
      </w:r>
      <w:r w:rsidRPr="00856F72">
        <w:rPr>
          <w:rFonts w:asciiTheme="minorHAnsi" w:hAnsiTheme="minorHAnsi" w:cs="Helvetica Neue"/>
          <w:color w:val="262626"/>
          <w:sz w:val="22"/>
          <w:szCs w:val="22"/>
        </w:rPr>
        <w:t>inspired by the model of “</w:t>
      </w:r>
      <w:proofErr w:type="spellStart"/>
      <w:r w:rsidRPr="00856F72">
        <w:rPr>
          <w:rFonts w:asciiTheme="minorHAnsi" w:hAnsiTheme="minorHAnsi" w:cs="Helvetica Neue"/>
          <w:color w:val="262626"/>
          <w:sz w:val="22"/>
          <w:szCs w:val="22"/>
        </w:rPr>
        <w:t>unconferences</w:t>
      </w:r>
      <w:proofErr w:type="spellEnd"/>
      <w:r w:rsidRPr="00856F72">
        <w:rPr>
          <w:rFonts w:asciiTheme="minorHAnsi" w:hAnsiTheme="minorHAnsi" w:cs="Helvetica Neue"/>
          <w:color w:val="262626"/>
          <w:sz w:val="22"/>
          <w:szCs w:val="22"/>
        </w:rPr>
        <w:t xml:space="preserve">” (a model we successfully used for the “Mapping and </w:t>
      </w:r>
      <w:proofErr w:type="spellStart"/>
      <w:r w:rsidRPr="00856F72">
        <w:rPr>
          <w:rFonts w:asciiTheme="minorHAnsi" w:hAnsiTheme="minorHAnsi" w:cs="Helvetica Neue"/>
          <w:color w:val="262626"/>
          <w:sz w:val="22"/>
          <w:szCs w:val="22"/>
        </w:rPr>
        <w:t>Visualising</w:t>
      </w:r>
      <w:proofErr w:type="spellEnd"/>
      <w:r w:rsidRPr="00856F72">
        <w:rPr>
          <w:rFonts w:asciiTheme="minorHAnsi" w:hAnsiTheme="minorHAnsi" w:cs="Helvetica Neue"/>
          <w:color w:val="262626"/>
          <w:sz w:val="22"/>
          <w:szCs w:val="22"/>
        </w:rPr>
        <w:t xml:space="preserve"> Transnational (</w:t>
      </w:r>
      <w:proofErr w:type="gramStart"/>
      <w:r w:rsidRPr="00856F72">
        <w:rPr>
          <w:rFonts w:asciiTheme="minorHAnsi" w:hAnsiTheme="minorHAnsi" w:cs="Helvetica Neue"/>
          <w:color w:val="262626"/>
          <w:sz w:val="22"/>
          <w:szCs w:val="22"/>
        </w:rPr>
        <w:t>Hi)St</w:t>
      </w:r>
      <w:r w:rsidR="00856F72" w:rsidRPr="00856F72">
        <w:rPr>
          <w:rFonts w:asciiTheme="minorHAnsi" w:hAnsiTheme="minorHAnsi" w:cs="Helvetica Neue"/>
          <w:color w:val="262626"/>
          <w:sz w:val="22"/>
          <w:szCs w:val="22"/>
        </w:rPr>
        <w:t>ories</w:t>
      </w:r>
      <w:proofErr w:type="gramEnd"/>
      <w:r w:rsidR="00856F72" w:rsidRPr="00856F72">
        <w:rPr>
          <w:rFonts w:asciiTheme="minorHAnsi" w:hAnsiTheme="minorHAnsi" w:cs="Helvetica Neue"/>
          <w:color w:val="262626"/>
          <w:sz w:val="22"/>
          <w:szCs w:val="22"/>
        </w:rPr>
        <w:t xml:space="preserve">” workshop in June 2014) as well as </w:t>
      </w:r>
      <w:r w:rsidR="00631397">
        <w:rPr>
          <w:rFonts w:asciiTheme="minorHAnsi" w:hAnsiTheme="minorHAnsi" w:cs="Helvetica Neue"/>
          <w:color w:val="262626"/>
          <w:sz w:val="22"/>
          <w:szCs w:val="22"/>
        </w:rPr>
        <w:t>“</w:t>
      </w:r>
      <w:r w:rsidR="00856F72" w:rsidRPr="00856F72">
        <w:rPr>
          <w:rFonts w:asciiTheme="minorHAnsi" w:hAnsiTheme="minorHAnsi" w:cs="Helvetica Neue"/>
          <w:color w:val="262626"/>
          <w:sz w:val="22"/>
          <w:szCs w:val="22"/>
        </w:rPr>
        <w:t>Pair programming</w:t>
      </w:r>
      <w:r w:rsidR="00631397">
        <w:rPr>
          <w:rFonts w:asciiTheme="minorHAnsi" w:hAnsiTheme="minorHAnsi" w:cs="Helvetica Neue"/>
          <w:color w:val="262626"/>
          <w:sz w:val="22"/>
          <w:szCs w:val="22"/>
        </w:rPr>
        <w:t>”</w:t>
      </w:r>
      <w:r w:rsidR="00856F72" w:rsidRPr="00856F72">
        <w:rPr>
          <w:rFonts w:asciiTheme="minorHAnsi" w:hAnsiTheme="minorHAnsi" w:cs="Helvetica Neue"/>
          <w:color w:val="262626"/>
          <w:sz w:val="22"/>
          <w:szCs w:val="22"/>
        </w:rPr>
        <w:t xml:space="preserve"> in the Humanities. </w:t>
      </w:r>
    </w:p>
    <w:p w14:paraId="4C38A8F9" w14:textId="77777777" w:rsidR="00E71A04" w:rsidRPr="00856F72" w:rsidRDefault="00E71A04" w:rsidP="00E71A04">
      <w:pPr>
        <w:spacing w:line="360" w:lineRule="auto"/>
        <w:rPr>
          <w:rFonts w:asciiTheme="minorHAnsi" w:hAnsiTheme="minorHAnsi" w:cs="Helvetica Neue"/>
          <w:color w:val="262626"/>
          <w:sz w:val="22"/>
          <w:szCs w:val="22"/>
        </w:rPr>
      </w:pPr>
    </w:p>
    <w:p w14:paraId="34B73EBC" w14:textId="77777777" w:rsidR="00E71A04" w:rsidRPr="00856F72" w:rsidRDefault="00E71A04" w:rsidP="00E71A04">
      <w:pPr>
        <w:spacing w:line="360" w:lineRule="auto"/>
        <w:rPr>
          <w:rFonts w:asciiTheme="minorHAnsi" w:hAnsiTheme="minorHAnsi" w:cs="Helvetica Neue"/>
          <w:color w:val="0E73C0"/>
          <w:sz w:val="22"/>
          <w:szCs w:val="22"/>
        </w:rPr>
      </w:pPr>
      <w:r w:rsidRPr="00856F72">
        <w:rPr>
          <w:rFonts w:asciiTheme="minorHAnsi" w:hAnsiTheme="minorHAnsi" w:cs="Helvetica Neue"/>
          <w:color w:val="262626"/>
          <w:sz w:val="22"/>
          <w:szCs w:val="22"/>
        </w:rPr>
        <w:t xml:space="preserve">See: </w:t>
      </w:r>
      <w:hyperlink r:id="rId14" w:history="1">
        <w:r w:rsidRPr="00856F72">
          <w:rPr>
            <w:rFonts w:asciiTheme="minorHAnsi" w:hAnsiTheme="minorHAnsi" w:cs="Helvetica Neue"/>
            <w:color w:val="0E73C0"/>
            <w:sz w:val="22"/>
            <w:szCs w:val="22"/>
          </w:rPr>
          <w:t>http://transnationalhistory.net/mvth/</w:t>
        </w:r>
      </w:hyperlink>
    </w:p>
    <w:p w14:paraId="6D21A1CB" w14:textId="0965BD46" w:rsidR="00856F72" w:rsidRPr="00856F72" w:rsidRDefault="00856F72" w:rsidP="00E71A04">
      <w:pPr>
        <w:spacing w:line="360" w:lineRule="auto"/>
        <w:rPr>
          <w:rFonts w:asciiTheme="minorHAnsi" w:hAnsiTheme="minorHAnsi" w:cs="Helvetica Neue"/>
          <w:color w:val="0E73C0"/>
          <w:sz w:val="22"/>
          <w:szCs w:val="22"/>
        </w:rPr>
      </w:pPr>
      <w:hyperlink r:id="rId15" w:history="1">
        <w:r w:rsidRPr="00856F72">
          <w:rPr>
            <w:rStyle w:val="Hyperlink"/>
            <w:rFonts w:asciiTheme="minorHAnsi" w:hAnsiTheme="minorHAnsi" w:cs="Helvetica Neue"/>
            <w:sz w:val="22"/>
            <w:szCs w:val="22"/>
          </w:rPr>
          <w:t>http://chronicle.com/blogs/profhacker/pair-programming-could-something-similar-work-in-the-humanities/32089</w:t>
        </w:r>
      </w:hyperlink>
    </w:p>
    <w:p w14:paraId="74EE89CF" w14:textId="77777777" w:rsidR="00E71A04" w:rsidRPr="00856F72" w:rsidRDefault="00E71A04" w:rsidP="00E71A04">
      <w:pPr>
        <w:spacing w:line="360" w:lineRule="auto"/>
        <w:rPr>
          <w:rFonts w:asciiTheme="minorHAnsi" w:hAnsiTheme="minorHAnsi"/>
          <w:sz w:val="22"/>
          <w:szCs w:val="22"/>
        </w:rPr>
      </w:pPr>
    </w:p>
    <w:p w14:paraId="7E29D064" w14:textId="5C27CFB5" w:rsidR="00E71A04" w:rsidRPr="00856F72" w:rsidRDefault="00E71A04" w:rsidP="00E71A04">
      <w:pPr>
        <w:spacing w:line="360" w:lineRule="auto"/>
        <w:rPr>
          <w:rFonts w:asciiTheme="minorHAnsi" w:hAnsiTheme="minorHAnsi"/>
          <w:sz w:val="22"/>
          <w:szCs w:val="22"/>
        </w:rPr>
      </w:pPr>
      <w:r w:rsidRPr="00856F72">
        <w:rPr>
          <w:rFonts w:asciiTheme="minorHAnsi" w:hAnsiTheme="minorHAnsi"/>
          <w:sz w:val="22"/>
          <w:szCs w:val="22"/>
        </w:rPr>
        <w:t xml:space="preserve">Please send your </w:t>
      </w:r>
      <w:r w:rsidRPr="00631397">
        <w:rPr>
          <w:rFonts w:asciiTheme="minorHAnsi" w:hAnsiTheme="minorHAnsi"/>
          <w:b/>
          <w:sz w:val="22"/>
          <w:szCs w:val="22"/>
        </w:rPr>
        <w:t>proposal</w:t>
      </w:r>
      <w:r w:rsidR="00631397">
        <w:rPr>
          <w:rFonts w:asciiTheme="minorHAnsi" w:hAnsiTheme="minorHAnsi"/>
          <w:sz w:val="22"/>
          <w:szCs w:val="22"/>
        </w:rPr>
        <w:t xml:space="preserve"> as a single word or PDF document </w:t>
      </w:r>
      <w:r w:rsidRPr="00856F72">
        <w:rPr>
          <w:rFonts w:asciiTheme="minorHAnsi" w:hAnsiTheme="minorHAnsi"/>
          <w:sz w:val="22"/>
          <w:szCs w:val="22"/>
        </w:rPr>
        <w:t xml:space="preserve">(abstract of a project / proposal of max 250 words; brief biographical </w:t>
      </w:r>
      <w:r w:rsidR="00631397">
        <w:rPr>
          <w:rFonts w:asciiTheme="minorHAnsi" w:hAnsiTheme="minorHAnsi"/>
          <w:sz w:val="22"/>
          <w:szCs w:val="22"/>
        </w:rPr>
        <w:t>sketch of max 15</w:t>
      </w:r>
      <w:r w:rsidRPr="00856F72">
        <w:rPr>
          <w:rFonts w:asciiTheme="minorHAnsi" w:hAnsiTheme="minorHAnsi"/>
          <w:sz w:val="22"/>
          <w:szCs w:val="22"/>
        </w:rPr>
        <w:t>0 words including the motivation to participate and what you are willing to contribute &amp; share during the summer school</w:t>
      </w:r>
      <w:r w:rsidR="00631397">
        <w:rPr>
          <w:rFonts w:asciiTheme="minorHAnsi" w:hAnsiTheme="minorHAnsi"/>
          <w:sz w:val="22"/>
          <w:szCs w:val="22"/>
        </w:rPr>
        <w:t>, e.g. contribute to reading group, writing session, workshop introducing a tool or software</w:t>
      </w:r>
      <w:r w:rsidRPr="00856F72">
        <w:rPr>
          <w:rFonts w:asciiTheme="minorHAnsi" w:hAnsiTheme="minorHAnsi"/>
          <w:sz w:val="22"/>
          <w:szCs w:val="22"/>
        </w:rPr>
        <w:t xml:space="preserve">) to </w:t>
      </w:r>
    </w:p>
    <w:p w14:paraId="252C98D2" w14:textId="77777777" w:rsidR="00E71A04" w:rsidRPr="00856F72" w:rsidRDefault="00E71A04" w:rsidP="00E71A04">
      <w:pPr>
        <w:spacing w:line="360" w:lineRule="auto"/>
        <w:rPr>
          <w:rFonts w:asciiTheme="minorHAnsi" w:hAnsiTheme="minorHAnsi"/>
          <w:sz w:val="22"/>
          <w:szCs w:val="22"/>
        </w:rPr>
      </w:pPr>
      <w:proofErr w:type="spellStart"/>
      <w:r w:rsidRPr="00856F72">
        <w:rPr>
          <w:rFonts w:asciiTheme="minorHAnsi" w:hAnsiTheme="minorHAnsi"/>
          <w:sz w:val="22"/>
          <w:szCs w:val="22"/>
        </w:rPr>
        <w:t>Giada</w:t>
      </w:r>
      <w:proofErr w:type="spellEnd"/>
      <w:r w:rsidRPr="00856F72">
        <w:rPr>
          <w:rFonts w:asciiTheme="minorHAnsi" w:hAnsiTheme="minorHAnsi"/>
          <w:sz w:val="22"/>
          <w:szCs w:val="22"/>
        </w:rPr>
        <w:t xml:space="preserve"> </w:t>
      </w:r>
      <w:proofErr w:type="spellStart"/>
      <w:r w:rsidRPr="00856F72">
        <w:rPr>
          <w:rFonts w:asciiTheme="minorHAnsi" w:hAnsiTheme="minorHAnsi"/>
          <w:sz w:val="22"/>
          <w:szCs w:val="22"/>
        </w:rPr>
        <w:t>Pizzoni</w:t>
      </w:r>
      <w:proofErr w:type="spellEnd"/>
      <w:r w:rsidRPr="00856F72">
        <w:rPr>
          <w:rFonts w:asciiTheme="minorHAnsi" w:hAnsiTheme="minorHAnsi"/>
          <w:sz w:val="22"/>
          <w:szCs w:val="22"/>
        </w:rPr>
        <w:t xml:space="preserve">, mail: </w:t>
      </w:r>
      <w:hyperlink r:id="rId16" w:history="1">
        <w:r w:rsidRPr="00856F72">
          <w:rPr>
            <w:rStyle w:val="Hyperlink"/>
            <w:rFonts w:asciiTheme="minorHAnsi" w:hAnsiTheme="minorHAnsi"/>
            <w:sz w:val="22"/>
            <w:szCs w:val="22"/>
          </w:rPr>
          <w:t>graines.interconnected@gmail.com</w:t>
        </w:r>
      </w:hyperlink>
    </w:p>
    <w:p w14:paraId="3AEF79F2" w14:textId="77777777" w:rsidR="00E71A04" w:rsidRPr="00856F72" w:rsidRDefault="00E71A04" w:rsidP="00E71A04">
      <w:pPr>
        <w:spacing w:line="360" w:lineRule="auto"/>
        <w:rPr>
          <w:rFonts w:asciiTheme="minorHAnsi" w:hAnsiTheme="minorHAnsi"/>
          <w:sz w:val="22"/>
          <w:szCs w:val="22"/>
        </w:rPr>
      </w:pPr>
    </w:p>
    <w:p w14:paraId="10260199" w14:textId="77777777" w:rsidR="00E71A04" w:rsidRPr="00856F72" w:rsidRDefault="00E71A04" w:rsidP="00E71A04">
      <w:pPr>
        <w:spacing w:line="360" w:lineRule="auto"/>
        <w:rPr>
          <w:rFonts w:asciiTheme="minorHAnsi" w:hAnsiTheme="minorHAnsi"/>
          <w:sz w:val="22"/>
          <w:szCs w:val="22"/>
        </w:rPr>
      </w:pPr>
      <w:r w:rsidRPr="00856F72">
        <w:rPr>
          <w:rFonts w:asciiTheme="minorHAnsi" w:hAnsiTheme="minorHAnsi"/>
          <w:sz w:val="22"/>
          <w:szCs w:val="22"/>
        </w:rPr>
        <w:t xml:space="preserve">Fees: 130 GBP – includes: 4 nights student hall accommodation with B&amp;B, dinner and catering during </w:t>
      </w:r>
      <w:proofErr w:type="gramStart"/>
      <w:r w:rsidRPr="00856F72">
        <w:rPr>
          <w:rFonts w:asciiTheme="minorHAnsi" w:hAnsiTheme="minorHAnsi"/>
          <w:sz w:val="22"/>
          <w:szCs w:val="22"/>
        </w:rPr>
        <w:t>summer</w:t>
      </w:r>
      <w:proofErr w:type="gramEnd"/>
      <w:r w:rsidRPr="00856F72">
        <w:rPr>
          <w:rFonts w:asciiTheme="minorHAnsi" w:hAnsiTheme="minorHAnsi"/>
          <w:sz w:val="22"/>
          <w:szCs w:val="22"/>
        </w:rPr>
        <w:t xml:space="preserve"> school. Travel expenses are not included. </w:t>
      </w:r>
    </w:p>
    <w:p w14:paraId="1D180567" w14:textId="77777777" w:rsidR="00E71A04" w:rsidRPr="00856F72" w:rsidRDefault="00E71A04" w:rsidP="00E71A04">
      <w:pPr>
        <w:spacing w:line="360" w:lineRule="auto"/>
        <w:rPr>
          <w:rFonts w:asciiTheme="minorHAnsi" w:hAnsiTheme="minorHAnsi"/>
          <w:sz w:val="22"/>
          <w:szCs w:val="22"/>
        </w:rPr>
      </w:pPr>
      <w:r w:rsidRPr="00856F72">
        <w:rPr>
          <w:rFonts w:asciiTheme="minorHAnsi" w:hAnsiTheme="minorHAnsi"/>
          <w:sz w:val="22"/>
          <w:szCs w:val="22"/>
        </w:rPr>
        <w:t xml:space="preserve">Fees: 50 GBP – participation without accommodation. </w:t>
      </w:r>
    </w:p>
    <w:p w14:paraId="3D940A73" w14:textId="77777777" w:rsidR="00E71A04" w:rsidRPr="00856F72" w:rsidRDefault="00E71A04" w:rsidP="00E71A04">
      <w:pPr>
        <w:spacing w:line="360" w:lineRule="auto"/>
        <w:rPr>
          <w:rFonts w:asciiTheme="minorHAnsi" w:hAnsiTheme="minorHAnsi"/>
          <w:sz w:val="22"/>
          <w:szCs w:val="22"/>
        </w:rPr>
      </w:pPr>
    </w:p>
    <w:p w14:paraId="7361A2EF" w14:textId="77777777" w:rsidR="00E71A04" w:rsidRDefault="00E71A04" w:rsidP="00E71A04">
      <w:pPr>
        <w:spacing w:line="360" w:lineRule="auto"/>
        <w:rPr>
          <w:rFonts w:asciiTheme="minorHAnsi" w:hAnsiTheme="minorHAnsi"/>
          <w:b/>
          <w:sz w:val="22"/>
          <w:szCs w:val="22"/>
        </w:rPr>
      </w:pPr>
      <w:r w:rsidRPr="00856F72">
        <w:rPr>
          <w:rFonts w:asciiTheme="minorHAnsi" w:hAnsiTheme="minorHAnsi"/>
          <w:b/>
          <w:sz w:val="22"/>
          <w:szCs w:val="22"/>
        </w:rPr>
        <w:t>Submission Date: 9 March 2015</w:t>
      </w:r>
    </w:p>
    <w:p w14:paraId="670929B7" w14:textId="77777777" w:rsidR="00856F72" w:rsidRDefault="00856F72" w:rsidP="00E71A04">
      <w:pPr>
        <w:spacing w:line="360" w:lineRule="auto"/>
        <w:rPr>
          <w:rFonts w:asciiTheme="minorHAnsi" w:hAnsiTheme="minorHAnsi"/>
          <w:b/>
          <w:sz w:val="22"/>
          <w:szCs w:val="22"/>
        </w:rPr>
      </w:pPr>
    </w:p>
    <w:p w14:paraId="659239EE" w14:textId="77777777" w:rsidR="00856F72" w:rsidRPr="00856F72" w:rsidRDefault="00856F72" w:rsidP="00E71A04">
      <w:pPr>
        <w:spacing w:line="360" w:lineRule="auto"/>
        <w:rPr>
          <w:rFonts w:asciiTheme="minorHAnsi" w:hAnsiTheme="minorHAnsi"/>
          <w:b/>
          <w:sz w:val="22"/>
          <w:szCs w:val="22"/>
        </w:rPr>
      </w:pPr>
    </w:p>
    <w:p w14:paraId="03B49DC5" w14:textId="77777777" w:rsidR="00E71A04" w:rsidRPr="00856F72" w:rsidRDefault="00E71A04" w:rsidP="00E71A04">
      <w:pPr>
        <w:spacing w:line="360" w:lineRule="auto"/>
        <w:rPr>
          <w:rFonts w:asciiTheme="minorHAnsi" w:hAnsiTheme="minorHAnsi"/>
          <w:sz w:val="22"/>
          <w:szCs w:val="22"/>
        </w:rPr>
      </w:pPr>
      <w:r w:rsidRPr="00856F72">
        <w:rPr>
          <w:rFonts w:asciiTheme="minorHAnsi" w:hAnsiTheme="minorHAnsi"/>
          <w:sz w:val="22"/>
          <w:szCs w:val="22"/>
        </w:rPr>
        <w:t>For further information on Interconnected and GRAINES see</w:t>
      </w:r>
    </w:p>
    <w:p w14:paraId="43153441" w14:textId="77777777" w:rsidR="00E71A04" w:rsidRPr="00856F72" w:rsidRDefault="00E71A04" w:rsidP="00E71A04">
      <w:pPr>
        <w:spacing w:line="360" w:lineRule="auto"/>
        <w:rPr>
          <w:rFonts w:asciiTheme="minorHAnsi" w:hAnsiTheme="minorHAnsi"/>
          <w:sz w:val="22"/>
          <w:szCs w:val="22"/>
        </w:rPr>
      </w:pPr>
      <w:hyperlink r:id="rId17" w:history="1">
        <w:r w:rsidRPr="00856F72">
          <w:rPr>
            <w:rStyle w:val="Hyperlink"/>
            <w:rFonts w:asciiTheme="minorHAnsi" w:hAnsiTheme="minorHAnsi"/>
            <w:sz w:val="22"/>
            <w:szCs w:val="22"/>
          </w:rPr>
          <w:t>http://transnationalhistory.net/interconnected/</w:t>
        </w:r>
      </w:hyperlink>
    </w:p>
    <w:p w14:paraId="1F828977" w14:textId="77777777" w:rsidR="00E71A04" w:rsidRPr="00856F72" w:rsidRDefault="00E71A04" w:rsidP="00E71A04">
      <w:pPr>
        <w:spacing w:line="360" w:lineRule="auto"/>
        <w:rPr>
          <w:rFonts w:asciiTheme="minorHAnsi" w:hAnsiTheme="minorHAnsi"/>
          <w:sz w:val="22"/>
          <w:szCs w:val="22"/>
        </w:rPr>
      </w:pPr>
      <w:hyperlink r:id="rId18" w:history="1">
        <w:r w:rsidRPr="00856F72">
          <w:rPr>
            <w:rStyle w:val="Hyperlink"/>
            <w:rFonts w:asciiTheme="minorHAnsi" w:hAnsiTheme="minorHAnsi"/>
            <w:sz w:val="22"/>
            <w:szCs w:val="22"/>
          </w:rPr>
          <w:t>http://grainesnetwork.com/</w:t>
        </w:r>
      </w:hyperlink>
    </w:p>
    <w:p w14:paraId="6DE06AA0" w14:textId="77777777" w:rsidR="00E71A04" w:rsidRPr="00856F72" w:rsidRDefault="00E71A04" w:rsidP="00E71A04">
      <w:pPr>
        <w:spacing w:line="360" w:lineRule="auto"/>
        <w:rPr>
          <w:rFonts w:asciiTheme="minorHAnsi" w:hAnsiTheme="minorHAnsi"/>
          <w:sz w:val="22"/>
          <w:szCs w:val="22"/>
        </w:rPr>
      </w:pPr>
    </w:p>
    <w:p w14:paraId="62507EDE" w14:textId="2D28B861" w:rsidR="00B23EDB" w:rsidRPr="00856F72" w:rsidRDefault="00B23EDB" w:rsidP="005A143C">
      <w:pPr>
        <w:rPr>
          <w:rFonts w:asciiTheme="minorHAnsi" w:hAnsiTheme="minorHAnsi"/>
          <w:b/>
          <w:i/>
          <w:sz w:val="22"/>
          <w:szCs w:val="22"/>
          <w:lang w:val="fr-FR"/>
        </w:rPr>
      </w:pPr>
      <w:bookmarkStart w:id="2" w:name="_GoBack"/>
      <w:bookmarkEnd w:id="2"/>
    </w:p>
    <w:sectPr w:rsidR="00B23EDB" w:rsidRPr="00856F72" w:rsidSect="00676B0F">
      <w:headerReference w:type="even" r:id="rId19"/>
      <w:headerReference w:type="default" r:id="rId20"/>
      <w:footerReference w:type="even"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7A079" w14:textId="77777777" w:rsidR="00856F72" w:rsidRDefault="00856F72" w:rsidP="00807EE9">
      <w:r>
        <w:separator/>
      </w:r>
    </w:p>
  </w:endnote>
  <w:endnote w:type="continuationSeparator" w:id="0">
    <w:p w14:paraId="7D9B3D55" w14:textId="77777777" w:rsidR="00856F72" w:rsidRDefault="00856F72" w:rsidP="0080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202C0" w14:textId="77777777" w:rsidR="00856F72" w:rsidRDefault="00856F72" w:rsidP="00807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084AC" w14:textId="77777777" w:rsidR="00856F72" w:rsidRDefault="00856F72" w:rsidP="00807E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F64F" w14:textId="77777777" w:rsidR="00856F72" w:rsidRDefault="00856F72" w:rsidP="00807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397">
      <w:rPr>
        <w:rStyle w:val="PageNumber"/>
        <w:noProof/>
      </w:rPr>
      <w:t>2</w:t>
    </w:r>
    <w:r>
      <w:rPr>
        <w:rStyle w:val="PageNumber"/>
      </w:rPr>
      <w:fldChar w:fldCharType="end"/>
    </w:r>
  </w:p>
  <w:p w14:paraId="3FA6EBEC" w14:textId="77777777" w:rsidR="00856F72" w:rsidRDefault="00856F72" w:rsidP="00807E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94B8" w14:textId="77777777" w:rsidR="00856F72" w:rsidRDefault="00856F72" w:rsidP="00807EE9">
      <w:r>
        <w:separator/>
      </w:r>
    </w:p>
  </w:footnote>
  <w:footnote w:type="continuationSeparator" w:id="0">
    <w:p w14:paraId="14E73E0A" w14:textId="77777777" w:rsidR="00856F72" w:rsidRDefault="00856F72" w:rsidP="00807E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2C2D" w14:textId="77777777" w:rsidR="00856F72" w:rsidRDefault="00856F72" w:rsidP="00B57C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C7D08" w14:textId="77777777" w:rsidR="00856F72" w:rsidRDefault="00856F72" w:rsidP="00E2453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E9435" w14:textId="77777777" w:rsidR="00856F72" w:rsidRDefault="00856F72" w:rsidP="00B57C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397">
      <w:rPr>
        <w:rStyle w:val="PageNumber"/>
        <w:noProof/>
      </w:rPr>
      <w:t>2</w:t>
    </w:r>
    <w:r>
      <w:rPr>
        <w:rStyle w:val="PageNumber"/>
      </w:rPr>
      <w:fldChar w:fldCharType="end"/>
    </w:r>
  </w:p>
  <w:p w14:paraId="7BE89A07" w14:textId="77777777" w:rsidR="00856F72" w:rsidRDefault="00856F72" w:rsidP="00E2453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66FB"/>
    <w:multiLevelType w:val="hybridMultilevel"/>
    <w:tmpl w:val="059C8334"/>
    <w:lvl w:ilvl="0" w:tplc="43A469C4">
      <w:start w:val="2"/>
      <w:numFmt w:val="bullet"/>
      <w:lvlText w:val="-"/>
      <w:lvlJc w:val="left"/>
      <w:pPr>
        <w:ind w:left="720" w:hanging="360"/>
      </w:pPr>
      <w:rPr>
        <w:rFonts w:ascii="Calibri" w:eastAsia="MS Minngs" w:hAnsi="Calibri"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499A5DC4"/>
    <w:multiLevelType w:val="hybridMultilevel"/>
    <w:tmpl w:val="A6E41734"/>
    <w:lvl w:ilvl="0" w:tplc="337A22E2">
      <w:start w:val="12"/>
      <w:numFmt w:val="bullet"/>
      <w:lvlText w:val="-"/>
      <w:lvlJc w:val="left"/>
      <w:pPr>
        <w:ind w:left="720" w:hanging="360"/>
      </w:pPr>
      <w:rPr>
        <w:rFonts w:ascii="Calibri" w:eastAsia="MS Minngs" w:hAnsi="Calibri"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FE273E4"/>
    <w:multiLevelType w:val="hybridMultilevel"/>
    <w:tmpl w:val="9E1E7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3C"/>
    <w:rsid w:val="0002202A"/>
    <w:rsid w:val="000278D3"/>
    <w:rsid w:val="000D16F8"/>
    <w:rsid w:val="00141DBA"/>
    <w:rsid w:val="001A58EB"/>
    <w:rsid w:val="001D7E47"/>
    <w:rsid w:val="002352F6"/>
    <w:rsid w:val="00241C1D"/>
    <w:rsid w:val="002440AA"/>
    <w:rsid w:val="002536CB"/>
    <w:rsid w:val="00266277"/>
    <w:rsid w:val="0028316E"/>
    <w:rsid w:val="002E2E29"/>
    <w:rsid w:val="0033529C"/>
    <w:rsid w:val="003A6FA8"/>
    <w:rsid w:val="003D780D"/>
    <w:rsid w:val="004117A6"/>
    <w:rsid w:val="00433A64"/>
    <w:rsid w:val="00446C07"/>
    <w:rsid w:val="00510062"/>
    <w:rsid w:val="005A143C"/>
    <w:rsid w:val="0061433A"/>
    <w:rsid w:val="00631397"/>
    <w:rsid w:val="00632CA8"/>
    <w:rsid w:val="006448DA"/>
    <w:rsid w:val="00676B0F"/>
    <w:rsid w:val="00682B24"/>
    <w:rsid w:val="006C248A"/>
    <w:rsid w:val="006E2AA8"/>
    <w:rsid w:val="006E4330"/>
    <w:rsid w:val="006E7BF2"/>
    <w:rsid w:val="00726AF6"/>
    <w:rsid w:val="007343B7"/>
    <w:rsid w:val="0075546C"/>
    <w:rsid w:val="007D6374"/>
    <w:rsid w:val="007F19D1"/>
    <w:rsid w:val="00807EE9"/>
    <w:rsid w:val="0082795B"/>
    <w:rsid w:val="00856202"/>
    <w:rsid w:val="00856F72"/>
    <w:rsid w:val="008578C7"/>
    <w:rsid w:val="00905EFE"/>
    <w:rsid w:val="0095559A"/>
    <w:rsid w:val="0096363F"/>
    <w:rsid w:val="00971695"/>
    <w:rsid w:val="00984370"/>
    <w:rsid w:val="00985A54"/>
    <w:rsid w:val="009C7730"/>
    <w:rsid w:val="009E588B"/>
    <w:rsid w:val="00A724DE"/>
    <w:rsid w:val="00AD049F"/>
    <w:rsid w:val="00B23EDB"/>
    <w:rsid w:val="00B57C9A"/>
    <w:rsid w:val="00BC2EA6"/>
    <w:rsid w:val="00CA4B04"/>
    <w:rsid w:val="00D26109"/>
    <w:rsid w:val="00D62FB4"/>
    <w:rsid w:val="00D63E42"/>
    <w:rsid w:val="00E07B45"/>
    <w:rsid w:val="00E158FE"/>
    <w:rsid w:val="00E162CC"/>
    <w:rsid w:val="00E2453E"/>
    <w:rsid w:val="00E55773"/>
    <w:rsid w:val="00E71A04"/>
    <w:rsid w:val="00E8583E"/>
    <w:rsid w:val="00EB7FF9"/>
    <w:rsid w:val="00F47C0E"/>
    <w:rsid w:val="00F673C1"/>
    <w:rsid w:val="00F67F24"/>
    <w:rsid w:val="00FA23E3"/>
    <w:rsid w:val="00FD63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A1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C"/>
    <w:rPr>
      <w:rFonts w:eastAsia="MS Minng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43C"/>
    <w:pPr>
      <w:ind w:left="720"/>
      <w:contextualSpacing/>
    </w:pPr>
    <w:rPr>
      <w:lang w:val="de-DE" w:eastAsia="ja-JP"/>
    </w:rPr>
  </w:style>
  <w:style w:type="paragraph" w:styleId="Footer">
    <w:name w:val="footer"/>
    <w:basedOn w:val="Normal"/>
    <w:link w:val="FooterChar"/>
    <w:uiPriority w:val="99"/>
    <w:rsid w:val="00807EE9"/>
    <w:pPr>
      <w:tabs>
        <w:tab w:val="center" w:pos="4320"/>
        <w:tab w:val="right" w:pos="8640"/>
      </w:tabs>
    </w:pPr>
  </w:style>
  <w:style w:type="character" w:customStyle="1" w:styleId="FooterChar">
    <w:name w:val="Footer Char"/>
    <w:basedOn w:val="DefaultParagraphFont"/>
    <w:link w:val="Footer"/>
    <w:uiPriority w:val="99"/>
    <w:locked/>
    <w:rsid w:val="00807EE9"/>
    <w:rPr>
      <w:rFonts w:eastAsia="MS Minngs" w:cs="Times New Roman"/>
      <w:sz w:val="24"/>
      <w:szCs w:val="24"/>
      <w:lang w:val="en-US"/>
    </w:rPr>
  </w:style>
  <w:style w:type="character" w:styleId="PageNumber">
    <w:name w:val="page number"/>
    <w:basedOn w:val="DefaultParagraphFont"/>
    <w:uiPriority w:val="99"/>
    <w:semiHidden/>
    <w:rsid w:val="00807EE9"/>
    <w:rPr>
      <w:rFonts w:cs="Times New Roman"/>
    </w:rPr>
  </w:style>
  <w:style w:type="paragraph" w:styleId="Header">
    <w:name w:val="header"/>
    <w:basedOn w:val="Normal"/>
    <w:link w:val="HeaderChar"/>
    <w:uiPriority w:val="99"/>
    <w:rsid w:val="00E2453E"/>
    <w:pPr>
      <w:tabs>
        <w:tab w:val="center" w:pos="4536"/>
        <w:tab w:val="right" w:pos="9072"/>
      </w:tabs>
    </w:pPr>
  </w:style>
  <w:style w:type="character" w:customStyle="1" w:styleId="HeaderChar">
    <w:name w:val="Header Char"/>
    <w:basedOn w:val="DefaultParagraphFont"/>
    <w:link w:val="Header"/>
    <w:uiPriority w:val="99"/>
    <w:semiHidden/>
    <w:locked/>
    <w:rsid w:val="00A724DE"/>
    <w:rPr>
      <w:rFonts w:eastAsia="MS Minngs" w:cs="Times New Roman"/>
      <w:sz w:val="24"/>
      <w:szCs w:val="24"/>
      <w:lang w:val="en-US" w:eastAsia="en-US"/>
    </w:rPr>
  </w:style>
  <w:style w:type="paragraph" w:styleId="BalloonText">
    <w:name w:val="Balloon Text"/>
    <w:basedOn w:val="Normal"/>
    <w:link w:val="BalloonTextChar"/>
    <w:uiPriority w:val="99"/>
    <w:semiHidden/>
    <w:unhideWhenUsed/>
    <w:rsid w:val="00141DBA"/>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DBA"/>
    <w:rPr>
      <w:rFonts w:ascii="Lucida Grande" w:eastAsia="MS Minngs" w:hAnsi="Lucida Grande"/>
      <w:sz w:val="18"/>
      <w:szCs w:val="18"/>
      <w:lang w:val="en-US" w:eastAsia="en-US"/>
    </w:rPr>
  </w:style>
  <w:style w:type="character" w:styleId="Hyperlink">
    <w:name w:val="Hyperlink"/>
    <w:basedOn w:val="DefaultParagraphFont"/>
    <w:uiPriority w:val="99"/>
    <w:unhideWhenUsed/>
    <w:rsid w:val="00E71A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C"/>
    <w:rPr>
      <w:rFonts w:eastAsia="MS Minng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43C"/>
    <w:pPr>
      <w:ind w:left="720"/>
      <w:contextualSpacing/>
    </w:pPr>
    <w:rPr>
      <w:lang w:val="de-DE" w:eastAsia="ja-JP"/>
    </w:rPr>
  </w:style>
  <w:style w:type="paragraph" w:styleId="Footer">
    <w:name w:val="footer"/>
    <w:basedOn w:val="Normal"/>
    <w:link w:val="FooterChar"/>
    <w:uiPriority w:val="99"/>
    <w:rsid w:val="00807EE9"/>
    <w:pPr>
      <w:tabs>
        <w:tab w:val="center" w:pos="4320"/>
        <w:tab w:val="right" w:pos="8640"/>
      </w:tabs>
    </w:pPr>
  </w:style>
  <w:style w:type="character" w:customStyle="1" w:styleId="FooterChar">
    <w:name w:val="Footer Char"/>
    <w:basedOn w:val="DefaultParagraphFont"/>
    <w:link w:val="Footer"/>
    <w:uiPriority w:val="99"/>
    <w:locked/>
    <w:rsid w:val="00807EE9"/>
    <w:rPr>
      <w:rFonts w:eastAsia="MS Minngs" w:cs="Times New Roman"/>
      <w:sz w:val="24"/>
      <w:szCs w:val="24"/>
      <w:lang w:val="en-US"/>
    </w:rPr>
  </w:style>
  <w:style w:type="character" w:styleId="PageNumber">
    <w:name w:val="page number"/>
    <w:basedOn w:val="DefaultParagraphFont"/>
    <w:uiPriority w:val="99"/>
    <w:semiHidden/>
    <w:rsid w:val="00807EE9"/>
    <w:rPr>
      <w:rFonts w:cs="Times New Roman"/>
    </w:rPr>
  </w:style>
  <w:style w:type="paragraph" w:styleId="Header">
    <w:name w:val="header"/>
    <w:basedOn w:val="Normal"/>
    <w:link w:val="HeaderChar"/>
    <w:uiPriority w:val="99"/>
    <w:rsid w:val="00E2453E"/>
    <w:pPr>
      <w:tabs>
        <w:tab w:val="center" w:pos="4536"/>
        <w:tab w:val="right" w:pos="9072"/>
      </w:tabs>
    </w:pPr>
  </w:style>
  <w:style w:type="character" w:customStyle="1" w:styleId="HeaderChar">
    <w:name w:val="Header Char"/>
    <w:basedOn w:val="DefaultParagraphFont"/>
    <w:link w:val="Header"/>
    <w:uiPriority w:val="99"/>
    <w:semiHidden/>
    <w:locked/>
    <w:rsid w:val="00A724DE"/>
    <w:rPr>
      <w:rFonts w:eastAsia="MS Minngs" w:cs="Times New Roman"/>
      <w:sz w:val="24"/>
      <w:szCs w:val="24"/>
      <w:lang w:val="en-US" w:eastAsia="en-US"/>
    </w:rPr>
  </w:style>
  <w:style w:type="paragraph" w:styleId="BalloonText">
    <w:name w:val="Balloon Text"/>
    <w:basedOn w:val="Normal"/>
    <w:link w:val="BalloonTextChar"/>
    <w:uiPriority w:val="99"/>
    <w:semiHidden/>
    <w:unhideWhenUsed/>
    <w:rsid w:val="00141DBA"/>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DBA"/>
    <w:rPr>
      <w:rFonts w:ascii="Lucida Grande" w:eastAsia="MS Minngs" w:hAnsi="Lucida Grande"/>
      <w:sz w:val="18"/>
      <w:szCs w:val="18"/>
      <w:lang w:val="en-US" w:eastAsia="en-US"/>
    </w:rPr>
  </w:style>
  <w:style w:type="character" w:styleId="Hyperlink">
    <w:name w:val="Hyperlink"/>
    <w:basedOn w:val="DefaultParagraphFont"/>
    <w:uiPriority w:val="99"/>
    <w:unhideWhenUsed/>
    <w:rsid w:val="00E71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hyperlink" Target="http://transnationalhistory.net/mvth/" TargetMode="External"/><Relationship Id="rId15" Type="http://schemas.openxmlformats.org/officeDocument/2006/relationships/hyperlink" Target="http://chronicle.com/blogs/profhacker/pair-programming-could-something-similar-work-in-the-humanities/32089" TargetMode="External"/><Relationship Id="rId16" Type="http://schemas.openxmlformats.org/officeDocument/2006/relationships/hyperlink" Target="mailto:graines.interconnected@gmail.com" TargetMode="External"/><Relationship Id="rId17" Type="http://schemas.openxmlformats.org/officeDocument/2006/relationships/hyperlink" Target="http://transnationalhistory.net/interconnected/" TargetMode="External"/><Relationship Id="rId18" Type="http://schemas.openxmlformats.org/officeDocument/2006/relationships/hyperlink" Target="http://grainesnetwork.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3362</Characters>
  <Application>Microsoft Macintosh Word</Application>
  <DocSecurity>0</DocSecurity>
  <Lines>60</Lines>
  <Paragraphs>13</Paragraphs>
  <ScaleCrop>false</ScaleCrop>
  <Company>Hewlett-Packard</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Roberto Zaugg</dc:creator>
  <cp:keywords/>
  <dc:description/>
  <cp:lastModifiedBy>Bernhard Struck</cp:lastModifiedBy>
  <cp:revision>3</cp:revision>
  <cp:lastPrinted>2013-06-10T07:33:00Z</cp:lastPrinted>
  <dcterms:created xsi:type="dcterms:W3CDTF">2015-02-15T21:02:00Z</dcterms:created>
  <dcterms:modified xsi:type="dcterms:W3CDTF">2015-02-15T21:22:00Z</dcterms:modified>
</cp:coreProperties>
</file>